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bookmarkStart w:id="0" w:name="_Hlk212632774"/>
      <w:r>
        <w:rPr>
          <w:rFonts w:ascii="Times New Roman" w:cs="Times New Roman" w:eastAsia="Times New Roman" w:hAnsi="Times New Roman"/>
          <w:sz w:val="24"/>
          <w:szCs w:val="24"/>
          <w:lang w:eastAsia="ar-SA"/>
        </w:rPr>
        <w:drawing xmlns:mc="http://schemas.openxmlformats.org/markup-compatibility/2006">
          <wp:anchor allowOverlap="1" behindDoc="1" distT="0" distB="0" distL="114300" distR="114300" layoutInCell="1" locked="0" relativeHeight="251657216" simplePos="0">
            <wp:simplePos x="0" y="0"/>
            <wp:positionH relativeFrom="page">
              <wp:posOffset>-86673</wp:posOffset>
            </wp:positionH>
            <wp:positionV relativeFrom="paragraph">
              <wp:posOffset>-721541</wp:posOffset>
            </wp:positionV>
            <wp:extent cx="7734300" cy="1579813"/>
            <wp:effectExtent l="0" t="0" r="0" b="0"/>
            <wp:wrapNone/>
            <wp:docPr id="4862952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9526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8905"/>
                    <a:stretch/>
                  </pic:blipFill>
                  <pic:spPr>
                    <a:xfrm>
                      <a:off x="0" y="0"/>
                      <a:ext cx="7734300" cy="157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  <w:bookmarkStart w:id="1" w:name="_Hlk181001447"/>
    </w:p>
    <w:p w14:paraId="00000003"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ar-SA"/>
        </w:rPr>
      </w:pPr>
    </w:p>
    <w:p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  <w:lang w:eastAsia="ar-SA"/>
        </w:rPr>
      </w:pPr>
      <w:bookmarkEnd w:id="1"/>
      <w:r>
        <w:rPr>
          <w:rFonts w:ascii="Times New Roman" w:cs="Times New Roman" w:eastAsia="Times New Roman" w:hAnsi="Times New Roman"/>
          <w:sz w:val="14"/>
          <w:szCs w:val="14"/>
          <w:lang w:eastAsia="ar-SA"/>
        </w:rPr>
        <w:t>Запись о регистрации СМИ ЭЛ № ФС 77-78798 от 04.08.2020 выдана Федеральной службой по надзору в сфере связи, информационных технологий и массовых коммуникаций «Роскомнадзор». Территория распространения: Российская Федерация и зарубежные страны.</w:t>
      </w:r>
    </w:p>
    <w:p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  <w:lang w:eastAsia="ar-SA"/>
        </w:rPr>
      </w:pPr>
      <w:r>
        <w:rPr>
          <w:rFonts w:ascii="Times New Roman" w:cs="Times New Roman" w:eastAsia="Times New Roman" w:hAnsi="Times New Roman"/>
          <w:sz w:val="14"/>
          <w:szCs w:val="14"/>
          <w:lang w:eastAsia="ar-SA"/>
        </w:rPr>
        <w:t>Лицензия на образовательную деятельность № 722022028 от 01.04.2022 выдана Департаментом образования и науки Тюменской области.</w:t>
      </w:r>
    </w:p>
    <w:p w14:paraId="00000006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  <w:lang w:eastAsia="ar-SA"/>
        </w:rPr>
      </w:pPr>
      <w:r>
        <w:rPr>
          <w:rFonts w:ascii="Times New Roman" w:cs="Times New Roman" w:eastAsia="Times New Roman" w:hAnsi="Times New Roman"/>
          <w:sz w:val="14"/>
          <w:szCs w:val="14"/>
          <w:lang w:eastAsia="ar-SA"/>
        </w:rPr>
        <w:t>сайт: art-ptica.ru; эл. почта: mail@art-ptica.ru</w:t>
      </w:r>
    </w:p>
    <w:p w14:paraId="00000007">
      <w:pPr>
        <w:tabs>
          <w:tab w:val="left" w:pos="851"/>
        </w:tabs>
        <w:spacing w:after="0"/>
        <w:ind w:right="-6"/>
        <w:rPr>
          <w:rFonts w:ascii="Times New Roman" w:cs="Times New Roman" w:hAnsi="Times New Roman"/>
          <w:b/>
          <w:bCs/>
          <w:sz w:val="26"/>
          <w:szCs w:val="26"/>
        </w:rPr>
      </w:pPr>
    </w:p>
    <w:p w14:paraId="00000008">
      <w:pPr>
        <w:tabs>
          <w:tab w:val="left" w:pos="851"/>
        </w:tabs>
        <w:spacing w:after="0" w:line="240" w:lineRule="auto"/>
        <w:ind w:right="-6" w:firstLine="72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Пресс-релиз об итогах  </w:t>
      </w:r>
    </w:p>
    <w:p w14:paraId="00000009">
      <w:pPr>
        <w:spacing w:after="0" w:line="240" w:lineRule="auto"/>
        <w:ind w:firstLine="708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VII Всероссийского очного патриотического конкурса ко Дню народного единства, посвященного 80-летию Победы в Великой Отечественной Войне</w:t>
      </w:r>
    </w:p>
    <w:p w14:paraId="0000000A">
      <w:pPr>
        <w:spacing w:after="0" w:line="240" w:lineRule="auto"/>
        <w:ind w:firstLine="708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«Российский колорит»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bookmarkEnd w:id="0"/>
    </w:p>
    <w:p w14:paraId="0000000B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Союз деятелей культуры и искусства поздравляет участников конкурса «Российский колорит – 2025»!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E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31 октября 2025 года в г. Тобольске состоялась церемония подведения итогов VII Всероссийского очного патриотического конкурса ко Дню народного единства «Российский колорит», посвящённого 80-летию Победы в Великой Отечественной войне.</w:t>
      </w:r>
    </w:p>
    <w:p w14:paraId="0000000F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Конкурс организован МЦТР «Арт Птица 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</w:rPr>
        <w:instrText xml:space="preserve">HYPERLINK "https://vk.com/away.php?to=http%3A%2F%2Fart-ptica.ru&amp;utf=1"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</w:rPr>
        <w:t>art-ptica.ru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» при поддержке Союза деятелей культуры и искусства, Детской школы искусств им. А. А. Алябьева, Арт-галереи «Акцент», а также департаментов культуры регионов России и цифровой платформы </w:t>
      </w:r>
      <w:r>
        <w:rPr>
          <w:rFonts w:ascii="Times New Roman" w:cs="Times New Roman" w:hAnsi="Times New Roman"/>
          <w:sz w:val="24"/>
          <w:szCs w:val="24"/>
        </w:rPr>
        <w:t>PRO.Культура.РФ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0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этом году проект объединил участников из 65 регионов России, а также представителей Беларуси и Казахстана.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Участники представили сотни живописных, литературных, музыкальных, театральных и исследовательских работ, посвящённых истории, культуре и духовным традициям нашей страны.</w:t>
      </w:r>
    </w:p>
    <w:p w14:paraId="00000011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2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Особое внимание заслуживает профессиональный состав экспертного жюри, в которое вошли члены нашего Союза — заслуженные артисты, педагоги, художники, искусствоведы и деятели культур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. В их числе: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Татьяна </w:t>
      </w:r>
      <w:r>
        <w:rPr>
          <w:rFonts w:ascii="Times New Roman" w:cs="Times New Roman" w:hAnsi="Times New Roman"/>
          <w:sz w:val="24"/>
          <w:szCs w:val="24"/>
        </w:rPr>
        <w:t>Тронза-Вселикая</w:t>
      </w:r>
      <w:r>
        <w:rPr>
          <w:rFonts w:ascii="Times New Roman" w:cs="Times New Roman" w:hAnsi="Times New Roman"/>
          <w:sz w:val="24"/>
          <w:szCs w:val="24"/>
        </w:rPr>
        <w:t>, заслуженный деятель Московского музыкального общества;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Яна Лысенко, заслуженная артистка республик Северная Осетия-Алания и Карачаево-Черкесия;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Денис Досаев, деятель в области литературного и театрального искусства;</w:t>
      </w: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Полина Коробчинская, искусствовед, организатор конкурсно-выставочных проектов, руководитель Гильдии педагогов при </w:t>
      </w:r>
      <w:r>
        <w:rPr>
          <w:rFonts w:ascii="Times New Roman" w:cs="Times New Roman" w:hAnsi="Times New Roman"/>
          <w:sz w:val="24"/>
          <w:szCs w:val="24"/>
        </w:rPr>
        <w:t>СДКиИ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1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 многие другие представители профессионального сообщества.</w:t>
      </w:r>
    </w:p>
    <w:p w14:paraId="0000001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8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Союз деятелей культуры и искусства в лице основателя и председателя Аллы Викторовны Иванниковой </w:t>
      </w:r>
      <w:r>
        <w:rPr>
          <w:rFonts w:ascii="Times New Roman" w:cs="Times New Roman" w:hAnsi="Times New Roman"/>
          <w:sz w:val="24"/>
          <w:szCs w:val="24"/>
        </w:rPr>
        <w:t xml:space="preserve">награжден Благодарностью </w:t>
      </w:r>
      <w:r>
        <w:rPr>
          <w:rFonts w:ascii="Times New Roman" w:cs="Times New Roman" w:hAnsi="Times New Roman"/>
          <w:sz w:val="24"/>
          <w:szCs w:val="24"/>
        </w:rPr>
        <w:t>за неоценимый вклад в поддержку и поощрение культурных инициатив,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а также за создание условий для широкой вовлечённости общественности в сферу искусства и культуры.</w:t>
      </w:r>
    </w:p>
    <w:p w14:paraId="0000001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A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Конкурс «Российский колорит» стал подтверждением того, что патриотическая тема остаётся живым источником вдохновения для художников, педагогов и молодых авторов, а искусство — мощной силой, объединяющей поколения.</w:t>
      </w:r>
    </w:p>
    <w:p w14:paraId="0000001B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1C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Союз деятелей культуры и искусства благодарит всех участников, педагогов, членов жюри и партнёров проекта за высокий профессионализм, инициативу и верность культурным традициям России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хранение исторической памяти и популяризацию традиционных духовных ценностей.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51"/>
    <w:rsid w:val="00064C17"/>
    <w:rsid w:val="000C6029"/>
    <w:rsid w:val="006E3FEE"/>
    <w:rsid w:val="00885D44"/>
    <w:rsid w:val="00B43951"/>
    <w:rsid w:val="00C76EC5"/>
    <w:rsid w:val="00C86007"/>
    <w:rsid w:val="00E737A2"/>
    <w:rsid w:val="00F73637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1D69"/>
  <w15:chartTrackingRefBased/>
  <w15:docId w15:val="{1D791707-0078-4FB4-8C2E-4A53E35A217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360" w:after="80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cstheme="majorBidi" w:eastAsiaTheme="majorEastAsia"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color w:val="2f5395" w:themeColor="accent1" w:themeShade="b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395" w:themeColor="accent1" w:themeShade="bf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5" Type="http://schemas.openxmlformats.org/officeDocument/2006/relationships/hyperlink" Target="https://vk.com/away.php?to=http%3A%2F%2Fart-ptica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</dc:creator>
  <cp:lastModifiedBy>Алла</cp:lastModifiedBy>
</cp:coreProperties>
</file>